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649.xml.htm"/>
      <w:bookmarkStart w:id="1" w:name="kswkform4_17861346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Murdoch Travis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2"/>
        <w:gridCol w:w="925"/>
        <w:gridCol w:w="794"/>
        <w:gridCol w:w="614"/>
        <w:gridCol w:w="345"/>
        <w:gridCol w:w="922"/>
        <w:gridCol w:w="432"/>
        <w:gridCol w:w="600"/>
        <w:gridCol w:w="1268"/>
        <w:gridCol w:w="982"/>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83,333</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2,940,670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3,338,175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Murdoch Family Trust</w:t>
            </w:r>
            <w:r>
              <w:rPr>
                <w:rFonts w:ascii="Times;serif" w:hAnsi="Times;serif"/>
                <w:color w:val="008000"/>
                <w:position w:val="7"/>
                <w:sz w:val="16"/>
                <w:sz w:val="20"/>
                <w:shd w:fill="FFFFFF" w:val="clear"/>
              </w:rPr>
              <w:t>(1)</w:t>
            </w:r>
          </w:p>
        </w:tc>
      </w:tr>
      <w:tr>
        <w:trPr/>
        <w:tc>
          <w:tcPr>
            <w:tcW w:w="20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1,027,396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Irrevocable Gift Trust for Alizee</w:t>
            </w:r>
            <w:r>
              <w:rPr>
                <w:rFonts w:ascii="Times;serif" w:hAnsi="Times;serif"/>
                <w:color w:val="008000"/>
                <w:position w:val="7"/>
                <w:sz w:val="16"/>
                <w:sz w:val="20"/>
                <w:shd w:fill="FFFFFF" w:val="clear"/>
              </w:rPr>
              <w:t>(1)</w:t>
            </w:r>
          </w:p>
        </w:tc>
      </w:tr>
      <w:tr>
        <w:trPr/>
        <w:tc>
          <w:tcPr>
            <w:tcW w:w="20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1,027,396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Irrevocable Gift Trust for Siena</w:t>
            </w:r>
            <w:r>
              <w:rPr>
                <w:rFonts w:ascii="Times;serif" w:hAnsi="Times;serif"/>
                <w:color w:val="008000"/>
                <w:position w:val="7"/>
                <w:sz w:val="16"/>
                <w:sz w:val="20"/>
                <w:shd w:fill="FFFFFF" w:val="clear"/>
              </w:rPr>
              <w:t>(1)</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such securities for purposes of Section 16 of the Securities Exchange Act of 1934, as amended (the "Exchange Act"), except to the extent of his pecuniary interest therein, if any. This report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1/48th of the shares subject to such option vest and become exercisable in substantially equal monthly installments on each monthly anniversary of July 23, 2026,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5681"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3921</Characters>
  <CharactersWithSpaces>4555</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