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134641.xml.htm"/>
      <w:bookmarkStart w:id="1" w:name="kswkform4_178613464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Bos Jasper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BRAVEHEART BIO,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LETTERMAN DR., BLDG. A, SUITE A4-300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Braveheart Bio, Inc.</w:t>
              </w:r>
            </w:hyperlink>
            <w:r>
              <w:rPr/>
              <w:t xml:space="preserve"> [ </w:t>
            </w:r>
            <w:r>
              <w:rPr>
                <w:rFonts w:ascii="Times;serif" w:hAnsi="Times;serif"/>
                <w:color w:val="0000FF"/>
                <w:sz w:val="24"/>
                <w:shd w:fill="FFFFFF" w:val="clear"/>
              </w:rPr>
              <w:t>BRVE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18</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08/04/2036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underlying the stock option will vest in full upon the earlier of (i) August 5, 2027 or (ii) the date of the Issuer's next annual meeting of stockholders, subject to the Reporting Person's continued service to the Issuer through such vesting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Paul Rickey,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97789" TargetMode="External"/><Relationship Id="rId5" Type="http://schemas.openxmlformats.org/officeDocument/2006/relationships/hyperlink" Target="http://www.sec.gov/cgi-bin/browse-edgar?action=getcompany&amp;CIK=000213152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622</Words>
  <Characters>3354</Characters>
  <CharactersWithSpaces>3904</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